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 xml:space="preserve">еустанавливает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 xml:space="preserve">,и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>передается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 xml:space="preserve">яподлежит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5D1A27" w:rsidRPr="00F354A2">
        <w:rPr>
          <w:rFonts w:ascii="Times New Roman" w:hAnsi="Times New Roman"/>
          <w:sz w:val="28"/>
          <w:szCs w:val="28"/>
        </w:rPr>
        <w:t>винформационно-телекоммуникационной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подразделениемфедерального органа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 xml:space="preserve">,предусмотренные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принятия такого решениянаправляет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ойкатегории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>передается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>передается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bookmarkStart w:id="0" w:name="_GoBack"/>
      <w:bookmarkEnd w:id="0"/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16721B" w:rsidRPr="00F354A2">
        <w:rPr>
          <w:rFonts w:ascii="Times New Roman" w:hAnsi="Times New Roman"/>
          <w:sz w:val="28"/>
          <w:szCs w:val="28"/>
        </w:rPr>
        <w:t>региональная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>региональная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3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>(для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0B" w:rsidRDefault="00E04D0B" w:rsidP="002C6CE8">
      <w:pPr>
        <w:spacing w:after="0" w:line="240" w:lineRule="auto"/>
      </w:pPr>
      <w:r>
        <w:separator/>
      </w:r>
    </w:p>
  </w:endnote>
  <w:endnote w:type="continuationSeparator" w:id="1">
    <w:p w:rsidR="00E04D0B" w:rsidRDefault="00E04D0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0B" w:rsidRDefault="00E04D0B" w:rsidP="002C6CE8">
      <w:pPr>
        <w:spacing w:after="0" w:line="240" w:lineRule="auto"/>
      </w:pPr>
      <w:r>
        <w:separator/>
      </w:r>
    </w:p>
  </w:footnote>
  <w:footnote w:type="continuationSeparator" w:id="1">
    <w:p w:rsidR="00E04D0B" w:rsidRDefault="00E04D0B" w:rsidP="002C6CE8">
      <w:pPr>
        <w:spacing w:after="0" w:line="240" w:lineRule="auto"/>
      </w:pPr>
      <w:r>
        <w:continuationSeparator/>
      </w:r>
    </w:p>
  </w:footnote>
  <w:footnote w:id="2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3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691277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432B0C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F9F6-0852-4407-9080-F9E86BB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8331</Words>
  <Characters>47488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55708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romanenko</cp:lastModifiedBy>
  <cp:revision>2</cp:revision>
  <cp:lastPrinted>2017-05-29T10:33:00Z</cp:lastPrinted>
  <dcterms:created xsi:type="dcterms:W3CDTF">2017-06-13T08:34:00Z</dcterms:created>
  <dcterms:modified xsi:type="dcterms:W3CDTF">2017-06-13T08:34:00Z</dcterms:modified>
</cp:coreProperties>
</file>